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CF" w:rsidRPr="009B6FD2" w:rsidRDefault="004F16CF" w:rsidP="004F16CF">
      <w:pPr>
        <w:jc w:val="center"/>
        <w:rPr>
          <w:b/>
        </w:rPr>
      </w:pPr>
      <w:r w:rsidRPr="009B6FD2">
        <w:rPr>
          <w:b/>
        </w:rPr>
        <w:t>MRCC Trigger Campaigns</w:t>
      </w:r>
    </w:p>
    <w:p w:rsidR="00C77C7A" w:rsidRDefault="00C77C7A" w:rsidP="004F16CF">
      <w:pPr>
        <w:rPr>
          <w:sz w:val="20"/>
          <w:szCs w:val="20"/>
        </w:rPr>
      </w:pPr>
      <w:r>
        <w:rPr>
          <w:sz w:val="20"/>
          <w:szCs w:val="20"/>
        </w:rPr>
        <w:t xml:space="preserve">5 new triggered emails for MR Premiere Plus card, based on card milestones (join, status upgrade, etc). </w:t>
      </w:r>
    </w:p>
    <w:p w:rsidR="004F16CF" w:rsidRPr="009B6FD2" w:rsidRDefault="00C77C7A" w:rsidP="004F16CF">
      <w:pPr>
        <w:rPr>
          <w:sz w:val="20"/>
          <w:szCs w:val="20"/>
        </w:rPr>
      </w:pPr>
      <w:r>
        <w:rPr>
          <w:sz w:val="20"/>
          <w:szCs w:val="20"/>
        </w:rPr>
        <w:t xml:space="preserve">Based off of existing SPG campaigns. Use copy in </w:t>
      </w:r>
      <w:r w:rsidR="00244F2A" w:rsidRPr="009B6FD2">
        <w:rPr>
          <w:sz w:val="20"/>
          <w:szCs w:val="20"/>
        </w:rPr>
        <w:t xml:space="preserve">SPG creative </w:t>
      </w:r>
      <w:r w:rsidR="00244F2A" w:rsidRPr="009B6FD2">
        <w:rPr>
          <w:sz w:val="20"/>
          <w:szCs w:val="20"/>
        </w:rPr>
        <w:t xml:space="preserve">PDF </w:t>
      </w:r>
      <w:r>
        <w:rPr>
          <w:sz w:val="20"/>
          <w:szCs w:val="20"/>
        </w:rPr>
        <w:t>as base</w:t>
      </w:r>
      <w:r w:rsidR="00244F2A" w:rsidRPr="009B6FD2">
        <w:rPr>
          <w:sz w:val="20"/>
          <w:szCs w:val="20"/>
        </w:rPr>
        <w:t>. The copy tweaks that should be made are those that either reference the Marriott Rewards Premiere Plus product, and/or acknowledging the status of the rewards member/card holder. Detai</w:t>
      </w:r>
      <w:r w:rsidR="009B6FD2" w:rsidRPr="009B6FD2">
        <w:rPr>
          <w:sz w:val="20"/>
          <w:szCs w:val="20"/>
        </w:rPr>
        <w:t>ls for copy direction</w:t>
      </w:r>
      <w:r w:rsidR="00244F2A" w:rsidRPr="009B6FD2">
        <w:rPr>
          <w:sz w:val="20"/>
          <w:szCs w:val="20"/>
        </w:rPr>
        <w:t xml:space="preserve"> below</w:t>
      </w:r>
      <w:r w:rsidR="00244F2A" w:rsidRPr="009B6FD2">
        <w:rPr>
          <w:sz w:val="20"/>
          <w:szCs w:val="20"/>
        </w:rPr>
        <w:t xml:space="preserve">. </w:t>
      </w:r>
    </w:p>
    <w:p w:rsidR="00244F2A" w:rsidRPr="004F16CF" w:rsidRDefault="00244F2A" w:rsidP="004F16CF">
      <w:pPr>
        <w:rPr>
          <w:b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675"/>
        <w:gridCol w:w="1847"/>
        <w:gridCol w:w="1944"/>
        <w:gridCol w:w="2789"/>
      </w:tblGrid>
      <w:tr w:rsidR="009B6FD2" w:rsidTr="00C77C7A">
        <w:tc>
          <w:tcPr>
            <w:tcW w:w="1105" w:type="dxa"/>
            <w:tcBorders>
              <w:top w:val="single" w:sz="8" w:space="0" w:color="E5B8B7"/>
              <w:left w:val="single" w:sz="8" w:space="0" w:color="E5B8B7"/>
              <w:bottom w:val="single" w:sz="12" w:space="0" w:color="D99594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Default="009B6FD2" w:rsidP="009B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Campaign Name</w:t>
            </w:r>
          </w:p>
        </w:tc>
        <w:tc>
          <w:tcPr>
            <w:tcW w:w="1675" w:type="dxa"/>
            <w:tcBorders>
              <w:top w:val="single" w:sz="8" w:space="0" w:color="E5B8B7"/>
              <w:left w:val="nil"/>
              <w:bottom w:val="single" w:sz="12" w:space="0" w:color="D99594"/>
              <w:right w:val="nil"/>
            </w:tcBorders>
          </w:tcPr>
          <w:p w:rsidR="009B6FD2" w:rsidRDefault="009B6FD2" w:rsidP="00C77C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SPG </w:t>
            </w:r>
            <w:r w:rsidR="00C77C7A">
              <w:rPr>
                <w:b/>
                <w:bCs/>
                <w:sz w:val="20"/>
                <w:szCs w:val="20"/>
              </w:rPr>
              <w:t xml:space="preserve">campaign equivalent </w:t>
            </w:r>
          </w:p>
        </w:tc>
        <w:tc>
          <w:tcPr>
            <w:tcW w:w="1847" w:type="dxa"/>
            <w:tcBorders>
              <w:top w:val="single" w:sz="8" w:space="0" w:color="E5B8B7"/>
              <w:left w:val="nil"/>
              <w:bottom w:val="single" w:sz="12" w:space="0" w:color="D99594"/>
              <w:right w:val="nil"/>
            </w:tcBorders>
          </w:tcPr>
          <w:p w:rsidR="009B6FD2" w:rsidRDefault="009B6FD2" w:rsidP="009B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1944" w:type="dxa"/>
            <w:tcBorders>
              <w:top w:val="single" w:sz="8" w:space="0" w:color="E5B8B7"/>
              <w:left w:val="nil"/>
              <w:bottom w:val="single" w:sz="12" w:space="0" w:color="D99594"/>
              <w:right w:val="nil"/>
            </w:tcBorders>
          </w:tcPr>
          <w:p w:rsidR="009B6FD2" w:rsidRDefault="009B6FD2" w:rsidP="009B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2789" w:type="dxa"/>
            <w:tcBorders>
              <w:top w:val="single" w:sz="8" w:space="0" w:color="E5B8B7"/>
              <w:left w:val="nil"/>
              <w:bottom w:val="single" w:sz="12" w:space="0" w:color="D99594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Default="009B6FD2" w:rsidP="009B6F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Copy Direction</w:t>
            </w:r>
          </w:p>
        </w:tc>
      </w:tr>
      <w:tr w:rsidR="009B6FD2" w:rsidTr="00C77C7A">
        <w:tc>
          <w:tcPr>
            <w:tcW w:w="1105" w:type="dxa"/>
            <w:tcBorders>
              <w:top w:val="nil"/>
              <w:left w:val="single" w:sz="8" w:space="0" w:color="E5B8B7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Default="009B6FD2" w:rsidP="009B6F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Automatic Silver (Non MR)</w:t>
            </w:r>
          </w:p>
          <w:p w:rsidR="009B6FD2" w:rsidRDefault="009B6FD2" w:rsidP="009B6FD2">
            <w:pPr>
              <w:rPr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Welcome – Consumer </w:t>
            </w:r>
          </w:p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(AMEX – Pg. 1)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Welcomes New Members to program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 triggers to cardmember who was previously not a MR member and has earned automatic silver program status due to card acquisition</w:t>
            </w:r>
            <w:r>
              <w:rPr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copy should be the same as the SPG Welcome – Consumer creative. Copy should be slightly tweaked so that we’re addressing customers who were not previously rewards members (ex: call out the fact that they are joining the Marriott Rewards program AND thank them for becoming a cardmember)</w:t>
            </w:r>
          </w:p>
        </w:tc>
      </w:tr>
      <w:tr w:rsidR="009B6FD2" w:rsidTr="00C77C7A">
        <w:tc>
          <w:tcPr>
            <w:tcW w:w="1105" w:type="dxa"/>
            <w:tcBorders>
              <w:top w:val="nil"/>
              <w:left w:val="single" w:sz="8" w:space="0" w:color="E5B8B7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Default="009B6FD2" w:rsidP="009B6F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Automatic Silver (MR)</w:t>
            </w:r>
            <w:r>
              <w:rPr>
                <w:b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Welcome – Consumer </w:t>
            </w:r>
          </w:p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(AMEX – Pg. 1)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Welcomes Existing members to Silver Elite Status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 triggers to cardmember who was previously a basic MR member and has earned automatic silver program status due to card acquisition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copy should be the same as the SPG Welcome – Consumer creative. Copy should be slightly tweaked so that we’re addressing customers who were previously Marriott rewards members, but are new to the card program.  </w:t>
            </w:r>
          </w:p>
        </w:tc>
      </w:tr>
      <w:tr w:rsidR="009B6FD2" w:rsidTr="00C77C7A">
        <w:tc>
          <w:tcPr>
            <w:tcW w:w="1105" w:type="dxa"/>
            <w:tcBorders>
              <w:top w:val="nil"/>
              <w:left w:val="single" w:sz="8" w:space="0" w:color="E5B8B7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Pr="004F16CF" w:rsidRDefault="009B6FD2" w:rsidP="009B6F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Spend to Gold (upgrade)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Gold Elite Upgrade 2018 </w:t>
            </w:r>
          </w:p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(AMEX – Pg. 6)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Acknowledges new elite gold status due to spend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Message triggers to cardmembers who were previously silver elite, and reached a spend threshold of $35k, resulting in achieving gold elite status.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copy should be the same as Gold Elite Upgrade 2018. Intro copy should acknowledge new elite gold status due to spend.</w:t>
            </w:r>
          </w:p>
        </w:tc>
      </w:tr>
      <w:tr w:rsidR="009B6FD2" w:rsidTr="00C77C7A">
        <w:tc>
          <w:tcPr>
            <w:tcW w:w="1105" w:type="dxa"/>
            <w:tcBorders>
              <w:top w:val="nil"/>
              <w:left w:val="single" w:sz="8" w:space="0" w:color="E5B8B7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Pr="004F16CF" w:rsidRDefault="009B6FD2" w:rsidP="009B6F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Spend to Gold (renew)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C77C7A" w:rsidRDefault="009B6FD2" w:rsidP="009B6FD2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Gold Elite Renewal 2018 </w:t>
            </w:r>
          </w:p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(AMEX – Pg. 7)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Acknowledges keeping elite gold status due to spend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 triggers to cardmembers who were previously gold elite, and reached a spend threshold of $35k, resulting in keeping their gold elite status.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copy should be the same as Gold Elite Renewal 2018. Intro copy should acknowledge keeping elite gold status due to spend.</w:t>
            </w:r>
          </w:p>
        </w:tc>
      </w:tr>
      <w:tr w:rsidR="009B6FD2" w:rsidTr="00C77C7A">
        <w:tc>
          <w:tcPr>
            <w:tcW w:w="1105" w:type="dxa"/>
            <w:tcBorders>
              <w:top w:val="nil"/>
              <w:left w:val="single" w:sz="8" w:space="0" w:color="E5B8B7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Pr="004F16CF" w:rsidRDefault="009B6FD2" w:rsidP="009B6F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Silver Renewal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Silver Elite Renewal (AMEX – Pg. 5)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Acknowledges cardmember anniversary and silver renewal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E5B8B7"/>
              <w:right w:val="nil"/>
            </w:tcBorders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 triggers to cardmembers who were previously silver elite due to card status, resulting in keeping their silver elite status.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E5B8B7"/>
              <w:right w:val="single" w:sz="8" w:space="0" w:color="E5B8B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FD2" w:rsidRDefault="009B6FD2" w:rsidP="009B6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copy should be the same as Silver Elite Renewal. Intro copy should acknowledge cardmember anniversary and silver renewal</w:t>
            </w:r>
          </w:p>
        </w:tc>
      </w:tr>
    </w:tbl>
    <w:p w:rsidR="004F16CF" w:rsidRDefault="004F16CF" w:rsidP="004F16CF">
      <w:pPr>
        <w:rPr>
          <w:rFonts w:ascii="Calibri" w:hAnsi="Calibri"/>
          <w:color w:val="1F497D"/>
          <w:sz w:val="20"/>
          <w:szCs w:val="20"/>
        </w:rPr>
      </w:pPr>
    </w:p>
    <w:p w:rsidR="00C77C7A" w:rsidRDefault="00C77C7A" w:rsidP="004F16CF">
      <w:pPr>
        <w:rPr>
          <w:rFonts w:ascii="Calibri" w:hAnsi="Calibri"/>
          <w:color w:val="1F497D"/>
          <w:sz w:val="20"/>
          <w:szCs w:val="20"/>
        </w:rPr>
      </w:pPr>
    </w:p>
    <w:p w:rsidR="004F16CF" w:rsidRPr="004F16CF" w:rsidRDefault="004F16CF" w:rsidP="004F16CF">
      <w:pPr>
        <w:rPr>
          <w:sz w:val="20"/>
          <w:szCs w:val="20"/>
        </w:rPr>
      </w:pPr>
      <w:r w:rsidRPr="004F16CF">
        <w:rPr>
          <w:b/>
          <w:sz w:val="20"/>
          <w:szCs w:val="20"/>
        </w:rPr>
        <w:t>Overall creative direction:</w:t>
      </w:r>
      <w:r w:rsidRPr="004F16CF">
        <w:rPr>
          <w:sz w:val="20"/>
          <w:szCs w:val="20"/>
        </w:rPr>
        <w:t xml:space="preserve"> Stick to traditional/previously used Marriott Rewards templates – don’t need to re-invent the wheel. Imagery that’s chosen should be aspirational in nature – if people are included, ensure they’re looking like they’re doing something rewarding, fun, etc. </w:t>
      </w:r>
    </w:p>
    <w:p w:rsidR="004F16CF" w:rsidRPr="00C77C7A" w:rsidRDefault="004F16CF" w:rsidP="004F16CF">
      <w:pPr>
        <w:rPr>
          <w:sz w:val="20"/>
          <w:szCs w:val="20"/>
        </w:rPr>
      </w:pPr>
      <w:r w:rsidRPr="004F16CF">
        <w:rPr>
          <w:sz w:val="20"/>
          <w:szCs w:val="20"/>
        </w:rPr>
        <w:t>The AMEX team requested iconography in their creative-- If it’s not something that is typically done, then we’d be open to another way to communicate the benefits.</w:t>
      </w:r>
      <w:bookmarkStart w:id="0" w:name="_GoBack"/>
      <w:bookmarkEnd w:id="0"/>
    </w:p>
    <w:p w:rsidR="004F16CF" w:rsidRDefault="004F16CF"/>
    <w:sectPr w:rsidR="004F16CF" w:rsidSect="00C77C7A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CF"/>
    <w:rsid w:val="00244F2A"/>
    <w:rsid w:val="004F16CF"/>
    <w:rsid w:val="009473D4"/>
    <w:rsid w:val="009B6FD2"/>
    <w:rsid w:val="00C77C7A"/>
    <w:rsid w:val="00C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17599-345C-48B4-995E-01F08F0A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Skolnick, Rachel</dc:creator>
  <cp:keywords/>
  <dc:description/>
  <cp:lastModifiedBy>Skolnick, Rachel</cp:lastModifiedBy>
  <cp:revision>2</cp:revision>
  <dcterms:created xsi:type="dcterms:W3CDTF">2018-05-18T13:47:00Z</dcterms:created>
  <dcterms:modified xsi:type="dcterms:W3CDTF">2018-05-18T14:15:00Z</dcterms:modified>
</cp:coreProperties>
</file>